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F5" w:rsidRPr="007771F5" w:rsidRDefault="007771F5" w:rsidP="007771F5">
      <w:pPr>
        <w:pStyle w:val="NormalWeb"/>
        <w:spacing w:before="0" w:beforeAutospacing="0" w:after="0" w:afterAutospacing="0"/>
        <w:rPr>
          <w:color w:val="222222"/>
        </w:rPr>
      </w:pPr>
      <w:r w:rsidRPr="007771F5">
        <w:rPr>
          <w:rStyle w:val="Strong"/>
          <w:color w:val="222222"/>
        </w:rPr>
        <w:t>BỘ GIÁO DỤC VÀ ĐÀO TẠO</w:t>
      </w:r>
      <w:r w:rsidRPr="007771F5">
        <w:rPr>
          <w:color w:val="222222"/>
        </w:rPr>
        <w:t xml:space="preserve">                  </w:t>
      </w:r>
      <w:r w:rsidRPr="007771F5">
        <w:rPr>
          <w:rStyle w:val="Strong"/>
          <w:color w:val="222222"/>
        </w:rPr>
        <w:t>CỘNG HÒA XÃ HỘI CHỦ NGHĨA VIỆT NAM</w:t>
      </w:r>
      <w:r w:rsidRPr="007771F5">
        <w:rPr>
          <w:b/>
          <w:bCs/>
          <w:color w:val="222222"/>
        </w:rPr>
        <w:br/>
      </w:r>
      <w:r w:rsidRPr="007771F5">
        <w:rPr>
          <w:rStyle w:val="Strong"/>
          <w:color w:val="222222"/>
        </w:rPr>
        <w:t xml:space="preserve">                                                                                  </w:t>
      </w:r>
      <w:r>
        <w:rPr>
          <w:rStyle w:val="Strong"/>
          <w:color w:val="222222"/>
        </w:rPr>
        <w:t xml:space="preserve">     </w:t>
      </w:r>
      <w:r w:rsidRPr="007771F5">
        <w:rPr>
          <w:rStyle w:val="Strong"/>
          <w:color w:val="222222"/>
        </w:rPr>
        <w:t xml:space="preserve"> </w:t>
      </w:r>
      <w:r w:rsidRPr="007771F5">
        <w:rPr>
          <w:rStyle w:val="Strong"/>
          <w:color w:val="222222"/>
        </w:rPr>
        <w:t>Độc lập - Tự do - Hạnh phúc</w:t>
      </w:r>
      <w:r>
        <w:rPr>
          <w:color w:val="222222"/>
        </w:rPr>
        <w:t xml:space="preserve"> </w:t>
      </w:r>
      <w:r w:rsidRPr="007771F5">
        <w:rPr>
          <w:color w:val="222222"/>
        </w:rPr>
        <w:t>Số: 2613/BGDĐT-GDTrH</w:t>
      </w:r>
      <w:r w:rsidRPr="007771F5">
        <w:rPr>
          <w:color w:val="222222"/>
        </w:rPr>
        <w:br/>
        <w:t>V/v: Triển khai thực hiện</w:t>
      </w:r>
    </w:p>
    <w:p w:rsidR="007771F5" w:rsidRPr="007771F5" w:rsidRDefault="007771F5" w:rsidP="007771F5">
      <w:pPr>
        <w:pStyle w:val="NormalWeb"/>
        <w:spacing w:before="0" w:beforeAutospacing="0" w:after="0" w:afterAutospacing="0"/>
        <w:rPr>
          <w:color w:val="222222"/>
        </w:rPr>
      </w:pPr>
      <w:r w:rsidRPr="007771F5">
        <w:rPr>
          <w:color w:val="222222"/>
        </w:rPr>
        <w:t xml:space="preserve"> chương trình giáo dục trung học</w:t>
      </w:r>
    </w:p>
    <w:p w:rsidR="007771F5" w:rsidRPr="007771F5" w:rsidRDefault="007771F5" w:rsidP="007771F5">
      <w:pPr>
        <w:pStyle w:val="NormalWeb"/>
        <w:spacing w:before="0" w:beforeAutospacing="0" w:after="0" w:afterAutospacing="0"/>
        <w:rPr>
          <w:color w:val="222222"/>
        </w:rPr>
      </w:pPr>
      <w:r w:rsidRPr="007771F5">
        <w:rPr>
          <w:color w:val="222222"/>
        </w:rPr>
        <w:t xml:space="preserve"> năm học 2021-2022                                       </w:t>
      </w:r>
      <w:r>
        <w:rPr>
          <w:color w:val="222222"/>
        </w:rPr>
        <w:t xml:space="preserve">                           </w:t>
      </w:r>
      <w:r w:rsidRPr="007771F5">
        <w:rPr>
          <w:color w:val="222222"/>
        </w:rPr>
        <w:t xml:space="preserve">  </w:t>
      </w:r>
      <w:r w:rsidRPr="007771F5">
        <w:rPr>
          <w:rStyle w:val="Emphasis"/>
          <w:color w:val="222222"/>
        </w:rPr>
        <w:t>Hà Nội, ngày 23 tháng 6 năm 2021</w:t>
      </w:r>
    </w:p>
    <w:p w:rsidR="007771F5" w:rsidRDefault="007771F5" w:rsidP="007771F5">
      <w:pPr>
        <w:shd w:val="clear" w:color="auto" w:fill="FFFFFF"/>
        <w:spacing w:after="0" w:line="240" w:lineRule="auto"/>
        <w:jc w:val="center"/>
        <w:rPr>
          <w:rFonts w:eastAsia="Times New Roman" w:cs="Times New Roman"/>
          <w:color w:val="222222"/>
          <w:szCs w:val="28"/>
        </w:rPr>
      </w:pPr>
    </w:p>
    <w:p w:rsidR="007771F5" w:rsidRPr="007771F5" w:rsidRDefault="007771F5" w:rsidP="007771F5">
      <w:pPr>
        <w:shd w:val="clear" w:color="auto" w:fill="FFFFFF"/>
        <w:spacing w:after="0" w:line="240" w:lineRule="auto"/>
        <w:jc w:val="center"/>
        <w:rPr>
          <w:rFonts w:eastAsia="Times New Roman" w:cs="Times New Roman"/>
          <w:color w:val="222222"/>
          <w:szCs w:val="28"/>
        </w:rPr>
      </w:pPr>
      <w:r w:rsidRPr="007771F5">
        <w:rPr>
          <w:rFonts w:eastAsia="Times New Roman" w:cs="Times New Roman"/>
          <w:color w:val="222222"/>
          <w:szCs w:val="28"/>
        </w:rPr>
        <w:t>Kính gửi: Các Sở Giáo dục và Đào tạo</w:t>
      </w:r>
      <w:r w:rsidRPr="007771F5">
        <w:rPr>
          <w:rFonts w:eastAsia="Times New Roman" w:cs="Times New Roman"/>
          <w:color w:val="222222"/>
          <w:szCs w:val="28"/>
          <w:vertAlign w:val="superscript"/>
        </w:rPr>
        <w:t>1</w:t>
      </w:r>
    </w:p>
    <w:p w:rsidR="007771F5" w:rsidRPr="007771F5" w:rsidRDefault="007771F5" w:rsidP="007771F5">
      <w:pPr>
        <w:shd w:val="clear" w:color="auto" w:fill="FFFFFF"/>
        <w:spacing w:after="0" w:line="240" w:lineRule="auto"/>
        <w:jc w:val="center"/>
        <w:rPr>
          <w:rFonts w:eastAsia="Times New Roman" w:cs="Times New Roman"/>
          <w:color w:val="222222"/>
          <w:szCs w:val="28"/>
        </w:rPr>
      </w:pPr>
      <w:r w:rsidRPr="007771F5">
        <w:rPr>
          <w:rFonts w:eastAsia="Times New Roman" w:cs="Times New Roman"/>
          <w:color w:val="222222"/>
          <w:szCs w:val="28"/>
        </w:rPr>
        <w:t> </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Năm học 2021 -2022, các cơ sở giáo dục trung học thực hiện đồng thời Chương trình giáo dục phổ thông ban hành kèm theo </w:t>
      </w:r>
      <w:hyperlink r:id="rId6" w:tgtFrame="_blank" w:history="1">
        <w:r w:rsidRPr="007771F5">
          <w:rPr>
            <w:rFonts w:eastAsia="Times New Roman" w:cs="Times New Roman"/>
            <w:color w:val="0000FF"/>
            <w:szCs w:val="28"/>
            <w:u w:val="single"/>
          </w:rPr>
          <w:t>Thông tư số 32/2018/TT-BGDĐT</w:t>
        </w:r>
      </w:hyperlink>
      <w:r w:rsidRPr="007771F5">
        <w:rPr>
          <w:rFonts w:eastAsia="Times New Roman" w:cs="Times New Roman"/>
          <w:color w:val="222222"/>
          <w:szCs w:val="28"/>
        </w:rPr>
        <w:t> ngày 26/12/2018 của Bộ trưởng Bộ Giáo dục và Đào tạo (gọi tắt là Chương trình giáo dục phổ thông 2018) đối với lớp 6 và Chương trình giáo dục phổ thông ban hành kèm theo </w:t>
      </w:r>
      <w:hyperlink r:id="rId7" w:tgtFrame="_blank" w:history="1">
        <w:r w:rsidRPr="007771F5">
          <w:rPr>
            <w:rFonts w:eastAsia="Times New Roman" w:cs="Times New Roman"/>
            <w:color w:val="0000FF"/>
            <w:szCs w:val="28"/>
            <w:u w:val="single"/>
          </w:rPr>
          <w:t>Quyết định số 16/2006/QĐ-BGDĐT</w:t>
        </w:r>
      </w:hyperlink>
      <w:r w:rsidRPr="007771F5">
        <w:rPr>
          <w:rFonts w:eastAsia="Times New Roman" w:cs="Times New Roman"/>
          <w:color w:val="222222"/>
          <w:szCs w:val="28"/>
        </w:rPr>
        <w:t> ngày 05/5/2006 của Bộ trưởng Bộ Giáo dục và Đào tạo (gọi tắt là Chương trình giáo dục phổ thông 2006) đối với các lớp từ lớp 7 đến lớp 12. Để thực hiện hiệu quả chương trình giáo dục trung học cơ sở và trung học phổ thông, Bộ Giáo dục và Đào tạo (GDĐT) đề nghị các Sở GDĐT triển khai thực hiện một số nội dung sau:</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I. Xây dựng và tổ chức thực hiện kế hoạch giáo dục của nhà trường</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b/>
          <w:color w:val="222222"/>
          <w:szCs w:val="28"/>
        </w:rPr>
        <w:t>1. Đối với lớp 6</w:t>
      </w:r>
      <w:r w:rsidRPr="007771F5">
        <w:rPr>
          <w:rFonts w:eastAsia="Times New Roman" w:cs="Times New Roman"/>
          <w:color w:val="222222"/>
          <w:szCs w:val="28"/>
        </w:rPr>
        <w:t>: Việc xây dựng và tổ chức thực hiện kế hoạch giáo dục của nhà trường được thực hiện theo </w:t>
      </w:r>
      <w:hyperlink r:id="rId8" w:tgtFrame="_blank" w:history="1">
        <w:r w:rsidRPr="007771F5">
          <w:rPr>
            <w:rFonts w:eastAsia="Times New Roman" w:cs="Times New Roman"/>
            <w:color w:val="0000FF"/>
            <w:szCs w:val="28"/>
            <w:u w:val="single"/>
          </w:rPr>
          <w:t>Công văn số 5512/BGDĐT-GDTrH</w:t>
        </w:r>
      </w:hyperlink>
      <w:r w:rsidRPr="007771F5">
        <w:rPr>
          <w:rFonts w:eastAsia="Times New Roman" w:cs="Times New Roman"/>
          <w:color w:val="222222"/>
          <w:szCs w:val="28"/>
        </w:rPr>
        <w:t> ngày 18/12/2020 của Bộ GDĐT về việc xây dựng và tổ chức thực hiện kế hoạch giáo dục của nhà trường (Công văn 5512); các phụ lục kèm theo Công văn 5512 được sử dụng để tham khảo trong việc xây dựng kế hoạch dạy học các môn học, kế hoạch tổ chức các hoạt động giáo dục, kế hoạch giáo dục của giáo viên, kế hoạch bài dạy (giáo án).</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b/>
          <w:color w:val="222222"/>
          <w:szCs w:val="28"/>
        </w:rPr>
        <w:t>2. Đối với các lớp từ lớp 7 đến lớp 12</w:t>
      </w:r>
      <w:r w:rsidRPr="007771F5">
        <w:rPr>
          <w:rFonts w:eastAsia="Times New Roman" w:cs="Times New Roman"/>
          <w:color w:val="222222"/>
          <w:szCs w:val="28"/>
        </w:rPr>
        <w:t>: Xây dựng và tổ chức thực hiện kế hoạch giáo dục của nhà trường phù hợp với điều kiện thực tiễn, đáp ứng yêu cầu thực hiện hiệu quả các phương pháp dạy học tích cực nhằm phát triển phẩm chất, năng lực học sinh; phát huy tính chủ động, sáng tạo của tổ chuyên môn và giáo viên trong việc xây dựng kế hoạch dạy học và giáo dục của tổ chuyên môn, kế hoạch bài dạy (giáo án) của giáo viên (hoàn thiện kế hoạch dạy học và giáo dục của tổ chuyên môn, kế hoạch bài dạy (giáo án) đã được xây dựng và thực hiện từ các năm học trước).</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II. Tổ chức dạy học các môn học và hoạt động giáo dục lớp 6</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Chương trình giáo dục phổ thông 2018 được xây dựng theo hướng mở, trong đó quy định tổng số tiết trong một năm học cho mỗi môn học, hoạt động giáo dục. Nhà trường chủ động bố trí thời gian triển khai kế hoạch giáo dục các môn học và hoạt động giáo dục trong năm học bảo đảm tính khoa học, sư phạm, không gây áp lực đối với học sinh; lưu ý việc tổ chức triển khai kế hoạch giáo dục một số môn học, hoạt động giáo dục sau:</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1. Môn Lịch sử và Địa lí</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 xml:space="preserve">a) Chương trình môn Lịch sử và Địa lí bao gồm phân môn Lịch sử và phân môn Địa lí, mỗi phân môn được thiết kế theo mạch nội dung riêng, trong đó nhiều nội dung </w:t>
      </w:r>
      <w:r w:rsidRPr="007771F5">
        <w:rPr>
          <w:rFonts w:eastAsia="Times New Roman" w:cs="Times New Roman"/>
          <w:color w:val="222222"/>
          <w:szCs w:val="28"/>
        </w:rPr>
        <w:lastRenderedPageBreak/>
        <w:t>dạy học liên quan được bố trí gần nhau để hỗ trợ nhau; nội dung Lịch sử tích hợp trong những phần phù hợp của nội dung Địa lí và nội dung Địa lí tích hợp trong những phần phù hợp của nội dung Lịch sử. Căn cứ tình hình đội ngũ giáo viên của nhà trường, hiệu trưởng phân công giáo viên dạy học các nội dung của chương trình phù hợp với năng lực chuyên môn của giáo viên. Nhà trường cần chủ động xây dựng kế hoạch đào tạo, bồi dưỡng để giáo viên đáp ứng yêu cầu về chuyên môn đảm nhận việc dạy học toàn bộ chương trình môn học.</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b) Kế hoạch dạy học môn học được xây dựng theo từng phân môn Lịch sử và phân môn Địa lí, các phân môn được bố trí dạy học đồng thời trong từng học kì phù hợp với điều kiện thực tiễn của nhà trường.</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c) Việc kiểm tra, đánh giá thường xuyên được thực hiện trong quá trình dạy học theo từng phân môn. Bài kiểm tra, đánh giá định kì được xây dựng bao gồm nội dung phân môn Lịch sử và phân môn Địa lí theo tỷ lệ phù hợp với nội dung và thời lượng dạy học của mỗi phân môn đến thời điểm kiểm tra, đánh giá.</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2. Môn Khoa học tự nhiên</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a) Chương trình môn Khoa học tự nhiên bao gồm các chủ đề: Chất và sự biến đổi của chất, Vật sống, Năng lượng và sự biến đổi, Trái Đất và bầu trời.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Căn cứ tình hình đội ngũ giáo viên của nhà trường, hiệu trưởng phân công giáo viên dạy học các chủ đề phù hợp với năng lực chuyên môn của giáo viên. Nhà trường cần chủ động xây dựng kế hoạch đào tạo, bồi dưỡng để giáo viên đáp ứng yêu cầu về chuyên môn đảm nhận việc dạy học các chủ đề hoặc toàn bộ chương trình môn học.</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b) Kế hoạch dạy học môn học được xây dựng phù hợp với logic sắp xếp các chủ đề của chương trình môn học và điều kiện tổ chức dạy học của nhà trường. Căn cứ vào điều kiện thực tế, nhà trường có thể tổ chức dạy học đồng thời các chủ đề trong từng học kì, bảo đảm tính khoa học, sư phạm, phù hợp với nội dung môn học.</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c) 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3. Nội dung giáo dục của địa phương</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 xml:space="preserve">a) Nội dung giáo dục của địa phương bao gồm những vấn đề cơ bản về văn hóa, lịch sử, địa lí, kinh tế, xã hội, môi trường, hướng </w:t>
      </w:r>
      <w:proofErr w:type="gramStart"/>
      <w:r w:rsidRPr="007771F5">
        <w:rPr>
          <w:rFonts w:eastAsia="Times New Roman" w:cs="Times New Roman"/>
          <w:color w:val="222222"/>
          <w:szCs w:val="28"/>
        </w:rPr>
        <w:t>nghiệp,...</w:t>
      </w:r>
      <w:proofErr w:type="gramEnd"/>
      <w:r w:rsidRPr="007771F5">
        <w:rPr>
          <w:rFonts w:eastAsia="Times New Roman" w:cs="Times New Roman"/>
          <w:color w:val="222222"/>
          <w:szCs w:val="28"/>
        </w:rPr>
        <w:t xml:space="preserve"> của địa phương. Căn cứ vào nội dung giáo dục của địa phương, hiệu trưởng phân công giáo viên dạy học các chủ đề phù hợp với năng lực của giáo viên.</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b) 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lastRenderedPageBreak/>
        <w:t>c) Giáo viên dạy học chủ đề nào thực hiện việc kiểm tra, đánh giá thường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 giá.</w:t>
      </w:r>
    </w:p>
    <w:p w:rsidR="007771F5" w:rsidRPr="007771F5" w:rsidRDefault="007771F5" w:rsidP="007771F5">
      <w:pPr>
        <w:shd w:val="clear" w:color="auto" w:fill="FFFFFF"/>
        <w:spacing w:after="120" w:line="240" w:lineRule="auto"/>
        <w:ind w:firstLine="720"/>
        <w:jc w:val="both"/>
        <w:rPr>
          <w:rFonts w:eastAsia="Times New Roman" w:cs="Times New Roman"/>
          <w:b/>
          <w:color w:val="222222"/>
          <w:szCs w:val="28"/>
        </w:rPr>
      </w:pPr>
      <w:r w:rsidRPr="007771F5">
        <w:rPr>
          <w:rFonts w:eastAsia="Times New Roman" w:cs="Times New Roman"/>
          <w:b/>
          <w:color w:val="222222"/>
          <w:szCs w:val="28"/>
        </w:rPr>
        <w:t>4. Hoạt động trải nghiệm, hướng nghiệp</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a) Chương trình Hoạt động trải nghiệm, hướng nghiệp bao gồm các nội dung hoạt động được tổ chức trong và ngoài nhà trường với các hình thức hoạt động chủ yếu là Sinh hoạt dưới cờ, Sinh hoạt lớp, Hoạt động giáo dục theo chủ đề và Hoạt động câu lạc bộ. Căn cứ vào điều kiện thực tế của nhà trường, hiệu trưởng phân công cán bộ quản lí, giáo viên đảm nhận việc tổ chức thực hiện các hoạt động phù hợp với năng lực của cán bộ quản lí, giáo viên.</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b) Kế hoạch tổ chức các hoạt động được xây dựng phù hợp với điều kiện thực tiễn của nhà trường; tăng cường phối hợp với cha mẹ học sinh, chính quyền địa phương, các tổ chức, cá nhân có liên quan để tổ chức cho học sinh thực hiện các hoạt động trong và ngoài nhà trường.</w:t>
      </w:r>
    </w:p>
    <w:p w:rsidR="007771F5" w:rsidRPr="007771F5" w:rsidRDefault="007771F5" w:rsidP="007771F5">
      <w:pPr>
        <w:shd w:val="clear" w:color="auto" w:fill="FFFFFF"/>
        <w:spacing w:after="120" w:line="240" w:lineRule="auto"/>
        <w:ind w:firstLine="720"/>
        <w:jc w:val="both"/>
        <w:rPr>
          <w:rFonts w:eastAsia="Times New Roman" w:cs="Times New Roman"/>
          <w:color w:val="222222"/>
          <w:szCs w:val="28"/>
        </w:rPr>
      </w:pPr>
      <w:r w:rsidRPr="007771F5">
        <w:rPr>
          <w:rFonts w:eastAsia="Times New Roman" w:cs="Times New Roman"/>
          <w:color w:val="222222"/>
          <w:szCs w:val="28"/>
        </w:rPr>
        <w:t>c) Cán bộ quản lí, giáo viên được phân công tổ chức hoạt động nào thực hiện việc kiểm tra, đánh giá thường xuyên đối với hoạt động đó theo kế hoạch. Bài kiểm tra, đánh giá định kì được xây dựng phù hợp với điều kiện thực tiễn của nhà trường, nội dung kiểm tra, đánh giá bao gồm nội dung các hoạt động đã thực hiện đến thời điểm kiểm tra, đánh giá.</w:t>
      </w:r>
    </w:p>
    <w:p w:rsidR="007771F5" w:rsidRPr="007771F5" w:rsidRDefault="007771F5" w:rsidP="007771F5">
      <w:pPr>
        <w:shd w:val="clear" w:color="auto" w:fill="FFFFFF"/>
        <w:spacing w:after="0" w:line="240" w:lineRule="auto"/>
        <w:ind w:firstLine="720"/>
        <w:jc w:val="both"/>
        <w:rPr>
          <w:rFonts w:eastAsia="Times New Roman" w:cs="Times New Roman"/>
          <w:color w:val="222222"/>
          <w:szCs w:val="28"/>
        </w:rPr>
      </w:pPr>
      <w:r w:rsidRPr="007771F5">
        <w:rPr>
          <w:rFonts w:eastAsia="Times New Roman" w:cs="Times New Roman"/>
          <w:color w:val="222222"/>
          <w:szCs w:val="28"/>
        </w:rPr>
        <w:t>Bộ GDĐT đề nghị các Sở GDĐT nghiêm túc triển khai thực hiện. Trong quá trình tổ chức thực hiện nếu có khó khăn, vướng mắc cần báo cáo kịp thời về Bộ GDĐT (qua Vụ Giáo dục Trung học) để được hướng dẫn, giải quyết./.</w:t>
      </w:r>
    </w:p>
    <w:p w:rsidR="007771F5" w:rsidRPr="007771F5" w:rsidRDefault="007771F5" w:rsidP="007771F5">
      <w:pPr>
        <w:shd w:val="clear" w:color="auto" w:fill="FFFFFF"/>
        <w:spacing w:after="0" w:line="240" w:lineRule="auto"/>
        <w:rPr>
          <w:rFonts w:eastAsia="Times New Roman" w:cs="Times New Roman"/>
          <w:color w:val="222222"/>
          <w:szCs w:val="28"/>
        </w:rPr>
      </w:pPr>
      <w:r w:rsidRPr="007771F5">
        <w:rPr>
          <w:rFonts w:eastAsia="Times New Roman" w:cs="Times New Roman"/>
          <w:color w:val="222222"/>
          <w:szCs w:val="28"/>
        </w:rPr>
        <w:t> </w:t>
      </w:r>
    </w:p>
    <w:tbl>
      <w:tblPr>
        <w:tblW w:w="12075" w:type="dxa"/>
        <w:jc w:val="center"/>
        <w:shd w:val="clear" w:color="auto" w:fill="FFFFFF"/>
        <w:tblCellMar>
          <w:left w:w="0" w:type="dxa"/>
          <w:right w:w="0" w:type="dxa"/>
        </w:tblCellMar>
        <w:tblLook w:val="04A0" w:firstRow="1" w:lastRow="0" w:firstColumn="1" w:lastColumn="0" w:noHBand="0" w:noVBand="1"/>
      </w:tblPr>
      <w:tblGrid>
        <w:gridCol w:w="5937"/>
        <w:gridCol w:w="6138"/>
      </w:tblGrid>
      <w:tr w:rsidR="007771F5" w:rsidRPr="007771F5" w:rsidTr="00AD5744">
        <w:trPr>
          <w:jc w:val="center"/>
        </w:trPr>
        <w:tc>
          <w:tcPr>
            <w:tcW w:w="5937" w:type="dxa"/>
            <w:tcBorders>
              <w:top w:val="nil"/>
              <w:left w:val="nil"/>
              <w:bottom w:val="nil"/>
              <w:right w:val="nil"/>
            </w:tcBorders>
            <w:shd w:val="clear" w:color="auto" w:fill="FFFFFF"/>
            <w:tcMar>
              <w:top w:w="0" w:type="dxa"/>
              <w:left w:w="108" w:type="dxa"/>
              <w:bottom w:w="0" w:type="dxa"/>
              <w:right w:w="108" w:type="dxa"/>
            </w:tcMar>
            <w:hideMark/>
          </w:tcPr>
          <w:p w:rsidR="007771F5" w:rsidRPr="007771F5" w:rsidRDefault="00AD5744" w:rsidP="007771F5">
            <w:pPr>
              <w:spacing w:after="0" w:line="240" w:lineRule="auto"/>
              <w:rPr>
                <w:rFonts w:eastAsia="Times New Roman" w:cs="Times New Roman"/>
                <w:color w:val="222222"/>
                <w:szCs w:val="28"/>
              </w:rPr>
            </w:pPr>
            <w:r>
              <w:rPr>
                <w:rFonts w:eastAsia="Times New Roman" w:cs="Times New Roman"/>
                <w:b/>
                <w:bCs/>
                <w:i/>
                <w:iCs/>
                <w:color w:val="222222"/>
                <w:sz w:val="24"/>
                <w:szCs w:val="24"/>
              </w:rPr>
              <w:t xml:space="preserve">                </w:t>
            </w:r>
            <w:r w:rsidR="007771F5" w:rsidRPr="00AD5744">
              <w:rPr>
                <w:rFonts w:eastAsia="Times New Roman" w:cs="Times New Roman"/>
                <w:b/>
                <w:bCs/>
                <w:i/>
                <w:iCs/>
                <w:color w:val="222222"/>
                <w:sz w:val="24"/>
                <w:szCs w:val="24"/>
              </w:rPr>
              <w:t>Nơi nhận:</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Như trên;</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Bộ trưởng (để báo cáo);</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Các Thứ trưởng (để phối hợp chỉ đạo);</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Cục Nhà trường, Bộ Quốc phòng;</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Các trường phổ thông trực thuộc;</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Các Cục, Vụ, Viện KHGDVN;</w:t>
            </w:r>
            <w:r w:rsidR="007771F5" w:rsidRPr="007771F5">
              <w:rPr>
                <w:rFonts w:eastAsia="Times New Roman" w:cs="Times New Roman"/>
                <w:color w:val="222222"/>
                <w:sz w:val="24"/>
                <w:szCs w:val="24"/>
              </w:rPr>
              <w:br/>
            </w:r>
            <w:r>
              <w:rPr>
                <w:rFonts w:eastAsia="Times New Roman" w:cs="Times New Roman"/>
                <w:color w:val="222222"/>
                <w:sz w:val="24"/>
                <w:szCs w:val="24"/>
              </w:rPr>
              <w:t xml:space="preserve">             </w:t>
            </w:r>
            <w:r w:rsidR="007771F5" w:rsidRPr="007771F5">
              <w:rPr>
                <w:rFonts w:eastAsia="Times New Roman" w:cs="Times New Roman"/>
                <w:color w:val="222222"/>
                <w:sz w:val="24"/>
                <w:szCs w:val="24"/>
              </w:rPr>
              <w:t>- Lưu: VT, Vụ GDTrH</w:t>
            </w:r>
            <w:r w:rsidR="007771F5" w:rsidRPr="007771F5">
              <w:rPr>
                <w:rFonts w:eastAsia="Times New Roman" w:cs="Times New Roman"/>
                <w:color w:val="222222"/>
                <w:szCs w:val="28"/>
              </w:rPr>
              <w:t>.</w:t>
            </w:r>
          </w:p>
        </w:tc>
        <w:tc>
          <w:tcPr>
            <w:tcW w:w="6138" w:type="dxa"/>
            <w:tcBorders>
              <w:top w:val="nil"/>
              <w:left w:val="nil"/>
              <w:bottom w:val="nil"/>
              <w:right w:val="nil"/>
            </w:tcBorders>
            <w:shd w:val="clear" w:color="auto" w:fill="FFFFFF"/>
            <w:tcMar>
              <w:top w:w="0" w:type="dxa"/>
              <w:left w:w="108" w:type="dxa"/>
              <w:bottom w:w="0" w:type="dxa"/>
              <w:right w:w="108" w:type="dxa"/>
            </w:tcMar>
            <w:hideMark/>
          </w:tcPr>
          <w:p w:rsidR="007771F5" w:rsidRPr="007771F5" w:rsidRDefault="007771F5" w:rsidP="007771F5">
            <w:pPr>
              <w:spacing w:after="0" w:line="240" w:lineRule="auto"/>
              <w:jc w:val="center"/>
              <w:rPr>
                <w:rFonts w:eastAsia="Times New Roman" w:cs="Times New Roman"/>
                <w:color w:val="222222"/>
                <w:szCs w:val="28"/>
              </w:rPr>
            </w:pPr>
            <w:r w:rsidRPr="007771F5">
              <w:rPr>
                <w:rFonts w:eastAsia="Times New Roman" w:cs="Times New Roman"/>
                <w:b/>
                <w:bCs/>
                <w:color w:val="222222"/>
                <w:szCs w:val="28"/>
              </w:rPr>
              <w:t>KT. BỘ TRƯỞNG</w:t>
            </w:r>
            <w:r w:rsidRPr="007771F5">
              <w:rPr>
                <w:rFonts w:eastAsia="Times New Roman" w:cs="Times New Roman"/>
                <w:b/>
                <w:bCs/>
                <w:color w:val="222222"/>
                <w:szCs w:val="28"/>
              </w:rPr>
              <w:br/>
              <w:t>THỨ TRƯỞNG</w:t>
            </w:r>
            <w:r w:rsidRPr="007771F5">
              <w:rPr>
                <w:rFonts w:eastAsia="Times New Roman" w:cs="Times New Roman"/>
                <w:b/>
                <w:bCs/>
                <w:color w:val="222222"/>
                <w:szCs w:val="28"/>
              </w:rPr>
              <w:br/>
            </w:r>
            <w:r w:rsidRPr="007771F5">
              <w:rPr>
                <w:rFonts w:eastAsia="Times New Roman" w:cs="Times New Roman"/>
                <w:b/>
                <w:bCs/>
                <w:color w:val="222222"/>
                <w:szCs w:val="28"/>
              </w:rPr>
              <w:br/>
            </w:r>
            <w:r w:rsidRPr="007771F5">
              <w:rPr>
                <w:rFonts w:eastAsia="Times New Roman" w:cs="Times New Roman"/>
                <w:b/>
                <w:bCs/>
                <w:color w:val="222222"/>
                <w:szCs w:val="28"/>
              </w:rPr>
              <w:br/>
            </w:r>
            <w:r w:rsidRPr="007771F5">
              <w:rPr>
                <w:rFonts w:eastAsia="Times New Roman" w:cs="Times New Roman"/>
                <w:b/>
                <w:bCs/>
                <w:color w:val="222222"/>
                <w:szCs w:val="28"/>
              </w:rPr>
              <w:br/>
            </w:r>
            <w:r w:rsidRPr="007771F5">
              <w:rPr>
                <w:rFonts w:eastAsia="Times New Roman" w:cs="Times New Roman"/>
                <w:b/>
                <w:bCs/>
                <w:color w:val="222222"/>
                <w:szCs w:val="28"/>
              </w:rPr>
              <w:br/>
              <w:t>Nguyễn Hữu Độ</w:t>
            </w:r>
          </w:p>
        </w:tc>
      </w:tr>
    </w:tbl>
    <w:p w:rsidR="007771F5" w:rsidRPr="007771F5" w:rsidRDefault="007771F5" w:rsidP="007771F5">
      <w:pPr>
        <w:shd w:val="clear" w:color="auto" w:fill="FFFFFF"/>
        <w:spacing w:after="0" w:line="240" w:lineRule="auto"/>
        <w:rPr>
          <w:rFonts w:eastAsia="Times New Roman" w:cs="Times New Roman"/>
          <w:color w:val="333333"/>
          <w:szCs w:val="28"/>
        </w:rPr>
      </w:pPr>
      <w:r w:rsidRPr="007771F5">
        <w:rPr>
          <w:rFonts w:eastAsia="Times New Roman" w:cs="Times New Roman"/>
          <w:color w:val="333333"/>
          <w:szCs w:val="28"/>
        </w:rPr>
        <w:t> </w:t>
      </w:r>
    </w:p>
    <w:p w:rsidR="006E3C37" w:rsidRPr="007771F5" w:rsidRDefault="006E3C37">
      <w:pPr>
        <w:rPr>
          <w:rFonts w:cs="Times New Roman"/>
          <w:szCs w:val="28"/>
        </w:rPr>
      </w:pPr>
      <w:bookmarkStart w:id="0" w:name="_GoBack"/>
      <w:bookmarkEnd w:id="0"/>
    </w:p>
    <w:sectPr w:rsidR="006E3C37" w:rsidRPr="007771F5" w:rsidSect="00980DB7">
      <w:headerReference w:type="default" r:id="rId9"/>
      <w:pgSz w:w="11907" w:h="16840" w:code="9"/>
      <w:pgMar w:top="1191" w:right="992" w:bottom="1134" w:left="130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00" w:rsidRDefault="00A81500" w:rsidP="007771F5">
      <w:pPr>
        <w:spacing w:after="0" w:line="240" w:lineRule="auto"/>
      </w:pPr>
      <w:r>
        <w:separator/>
      </w:r>
    </w:p>
  </w:endnote>
  <w:endnote w:type="continuationSeparator" w:id="0">
    <w:p w:rsidR="00A81500" w:rsidRDefault="00A81500" w:rsidP="0077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00" w:rsidRDefault="00A81500" w:rsidP="007771F5">
      <w:pPr>
        <w:spacing w:after="0" w:line="240" w:lineRule="auto"/>
      </w:pPr>
      <w:r>
        <w:separator/>
      </w:r>
    </w:p>
  </w:footnote>
  <w:footnote w:type="continuationSeparator" w:id="0">
    <w:p w:rsidR="00A81500" w:rsidRDefault="00A81500" w:rsidP="00777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45919"/>
      <w:docPartObj>
        <w:docPartGallery w:val="Page Numbers (Top of Page)"/>
        <w:docPartUnique/>
      </w:docPartObj>
    </w:sdtPr>
    <w:sdtEndPr>
      <w:rPr>
        <w:noProof/>
      </w:rPr>
    </w:sdtEndPr>
    <w:sdtContent>
      <w:p w:rsidR="007771F5" w:rsidRDefault="007771F5">
        <w:pPr>
          <w:pStyle w:val="Header"/>
          <w:jc w:val="center"/>
        </w:pPr>
        <w:r>
          <w:fldChar w:fldCharType="begin"/>
        </w:r>
        <w:r>
          <w:instrText xml:space="preserve"> PAGE   \* MERGEFORMAT </w:instrText>
        </w:r>
        <w:r>
          <w:fldChar w:fldCharType="separate"/>
        </w:r>
        <w:r w:rsidR="00AD5744">
          <w:rPr>
            <w:noProof/>
          </w:rPr>
          <w:t>2</w:t>
        </w:r>
        <w:r>
          <w:rPr>
            <w:noProof/>
          </w:rPr>
          <w:fldChar w:fldCharType="end"/>
        </w:r>
      </w:p>
    </w:sdtContent>
  </w:sdt>
  <w:p w:rsidR="007771F5" w:rsidRDefault="00777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F5"/>
    <w:rsid w:val="006E3C37"/>
    <w:rsid w:val="007771F5"/>
    <w:rsid w:val="00980DB7"/>
    <w:rsid w:val="00A81500"/>
    <w:rsid w:val="00AD5744"/>
    <w:rsid w:val="00BC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D48F"/>
  <w15:chartTrackingRefBased/>
  <w15:docId w15:val="{28834BC3-888A-4A48-8AFD-482805A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1F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771F5"/>
    <w:rPr>
      <w:color w:val="0000FF"/>
      <w:u w:val="single"/>
    </w:rPr>
  </w:style>
  <w:style w:type="character" w:styleId="Strong">
    <w:name w:val="Strong"/>
    <w:basedOn w:val="DefaultParagraphFont"/>
    <w:uiPriority w:val="22"/>
    <w:qFormat/>
    <w:rsid w:val="007771F5"/>
    <w:rPr>
      <w:b/>
      <w:bCs/>
    </w:rPr>
  </w:style>
  <w:style w:type="character" w:styleId="Emphasis">
    <w:name w:val="Emphasis"/>
    <w:basedOn w:val="DefaultParagraphFont"/>
    <w:uiPriority w:val="20"/>
    <w:qFormat/>
    <w:rsid w:val="007771F5"/>
    <w:rPr>
      <w:i/>
      <w:iCs/>
    </w:rPr>
  </w:style>
  <w:style w:type="paragraph" w:styleId="Header">
    <w:name w:val="header"/>
    <w:basedOn w:val="Normal"/>
    <w:link w:val="HeaderChar"/>
    <w:uiPriority w:val="99"/>
    <w:unhideWhenUsed/>
    <w:rsid w:val="0077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5"/>
  </w:style>
  <w:style w:type="paragraph" w:styleId="Footer">
    <w:name w:val="footer"/>
    <w:basedOn w:val="Normal"/>
    <w:link w:val="FooterChar"/>
    <w:uiPriority w:val="99"/>
    <w:unhideWhenUsed/>
    <w:rsid w:val="0077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357">
      <w:bodyDiv w:val="1"/>
      <w:marLeft w:val="0"/>
      <w:marRight w:val="0"/>
      <w:marTop w:val="0"/>
      <w:marBottom w:val="0"/>
      <w:divBdr>
        <w:top w:val="none" w:sz="0" w:space="0" w:color="auto"/>
        <w:left w:val="none" w:sz="0" w:space="0" w:color="auto"/>
        <w:bottom w:val="none" w:sz="0" w:space="0" w:color="auto"/>
        <w:right w:val="none" w:sz="0" w:space="0" w:color="auto"/>
      </w:divBdr>
    </w:div>
    <w:div w:id="1317226468">
      <w:bodyDiv w:val="1"/>
      <w:marLeft w:val="0"/>
      <w:marRight w:val="0"/>
      <w:marTop w:val="0"/>
      <w:marBottom w:val="0"/>
      <w:divBdr>
        <w:top w:val="none" w:sz="0" w:space="0" w:color="auto"/>
        <w:left w:val="none" w:sz="0" w:space="0" w:color="auto"/>
        <w:bottom w:val="none" w:sz="0" w:space="0" w:color="auto"/>
        <w:right w:val="none" w:sz="0" w:space="0" w:color="auto"/>
      </w:divBdr>
      <w:divsChild>
        <w:div w:id="46238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cong-van-5512-bgddt-gdtrh-2020-to-chuc-thuc-hien-ke-hoach-giao-duc-cua-nha-truong-204324-d6.html" TargetMode="External"/><Relationship Id="rId3" Type="http://schemas.openxmlformats.org/officeDocument/2006/relationships/webSettings" Target="webSettings.xml"/><Relationship Id="rId7" Type="http://schemas.openxmlformats.org/officeDocument/2006/relationships/hyperlink" Target="https://luatvietnam.vn/giao-duc/quyet-dinh-16-2006-qd-bgddt-bo-giao-duc-va-dao-tao-21653-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thong-tu-32-2018-tt-bgddt-ban-hanh-chuong-trinh-giao-duc-pho-thong-moi-169745-d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2021-07-15T08:50:00Z</dcterms:created>
  <dcterms:modified xsi:type="dcterms:W3CDTF">2021-07-15T08:56:00Z</dcterms:modified>
</cp:coreProperties>
</file>